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F3384D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EE0248" w:rsidRPr="00EE02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Personel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EE0248" w:rsidRPr="00EE0248" w:rsidRDefault="00EE0248" w:rsidP="00EE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248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EE0248" w:rsidP="00EE02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024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A547C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F3384D" w:rsidP="00F3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C3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62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</w:t>
            </w:r>
            <w:bookmarkStart w:id="0" w:name="_GoBack"/>
            <w:bookmarkEnd w:id="0"/>
            <w:r w:rsidR="00462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sonel Değerlendirme Raporları Prosedürü</w:t>
            </w:r>
            <w:r w:rsidR="00426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 w:rsidR="00DF4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Personel </w:t>
            </w:r>
            <w:r w:rsidR="00426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Değerlendirme Raporu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462B6D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</w:t>
            </w:r>
            <w:r w:rsidR="0009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elin Değerlendirme Raporlarını düzenlemek</w:t>
            </w:r>
          </w:p>
        </w:tc>
      </w:tr>
      <w:tr w:rsidR="00CA1C4E" w:rsidRPr="00084E54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26666" w:rsidRDefault="00426666" w:rsidP="0042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İlgili Kanun Yönetmelik/Yönerge:2547 sayılı kanun 35.Madde, 50/d maddesi, 39..Madde, 40/a maddesi, 40/d maddesi ve 31.Maddeleri, 657 Sayılı Devlet Memurları Kanunu kapsamında </w:t>
            </w:r>
            <w:r w:rsidR="00F3384D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 </w:t>
            </w:r>
          </w:p>
          <w:p w:rsidR="00BE39BF" w:rsidRPr="00084E54" w:rsidRDefault="00BE39BF" w:rsidP="00C3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92044" w:rsidRPr="00581FF7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092044" w:rsidRPr="00581FF7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092044" w:rsidRPr="00581FF7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F33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F338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 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092044" w:rsidRPr="00581FF7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23899" w:rsidRPr="00173FE8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1604D3" w:rsidRPr="004F3376" w:rsidTr="00A53D46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4D3" w:rsidRPr="00573D7C" w:rsidRDefault="00825AF5" w:rsidP="00160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1604D3" w:rsidRPr="004F3376" w:rsidTr="00A53D46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4.1.5.Akademik Personelin Değerlendirme Raporları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F5" w:rsidRDefault="00825AF5" w:rsidP="00825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</w:tr>
      <w:tr w:rsidR="001604D3" w:rsidRPr="004F3376" w:rsidTr="00A53D46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4.1.5.1.Değerlendirme Raporları 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Yılda iki kere olmak üzere 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(Haziran ve Aralık)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F5" w:rsidRDefault="00825AF5" w:rsidP="00825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</w:tr>
      <w:tr w:rsidR="001604D3" w:rsidRPr="004F3376" w:rsidTr="00A53D46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3" w:rsidRPr="00573D7C" w:rsidRDefault="001604D3" w:rsidP="001604D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4.1.5.1.1 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4.1.5.1.1.1.ÖYP Kapsamındaki Araştırma Görevlilerinin 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4.1.5.1.1.2.35.Madde Kapsamındaki Araştırma Görevlilerinin 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F5" w:rsidRDefault="00825AF5" w:rsidP="00825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Anabilim Dalı Başkanlıklarının gönderdikleri formlar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Formların Kadroların oldukları üniversiteye gönderilmek üzere Rektörlüğe yazılması.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Yazılan yazılar ve formların kişinin dozyasına konulması.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92044" w:rsidRPr="004F3376" w:rsidTr="00950D3C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4" w:rsidRPr="00173FE8" w:rsidRDefault="00092044" w:rsidP="0009204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092044" w:rsidRPr="00573D7C" w:rsidRDefault="00092044" w:rsidP="000920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03" w:rsidRDefault="003D3B03" w:rsidP="00BE39BF">
      <w:pPr>
        <w:spacing w:after="0" w:line="240" w:lineRule="auto"/>
      </w:pPr>
      <w:r>
        <w:separator/>
      </w:r>
    </w:p>
  </w:endnote>
  <w:endnote w:type="continuationSeparator" w:id="0">
    <w:p w:rsidR="003D3B03" w:rsidRDefault="003D3B0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03" w:rsidRDefault="003D3B03" w:rsidP="00BE39BF">
      <w:pPr>
        <w:spacing w:after="0" w:line="240" w:lineRule="auto"/>
      </w:pPr>
      <w:r>
        <w:separator/>
      </w:r>
    </w:p>
  </w:footnote>
  <w:footnote w:type="continuationSeparator" w:id="0">
    <w:p w:rsidR="003D3B03" w:rsidRDefault="003D3B0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825AF5" w:rsidP="00F3384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>ENSTİTÜSÜ PERSONEL</w:t>
          </w:r>
          <w:r w:rsidR="00A547C8">
            <w:rPr>
              <w:b/>
              <w:sz w:val="40"/>
              <w:szCs w:val="20"/>
            </w:rPr>
            <w:t xml:space="preserve"> İŞLERİ PERSONEL DEĞERLENDİRME RAPORU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3D3B0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3D3B03" w:rsidRPr="003D3B03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4269"/>
    <w:rsid w:val="000373F5"/>
    <w:rsid w:val="00055722"/>
    <w:rsid w:val="00084E54"/>
    <w:rsid w:val="00092044"/>
    <w:rsid w:val="000A137E"/>
    <w:rsid w:val="000A71F8"/>
    <w:rsid w:val="000D07CC"/>
    <w:rsid w:val="000D2353"/>
    <w:rsid w:val="000D2AF0"/>
    <w:rsid w:val="001155B0"/>
    <w:rsid w:val="0012438D"/>
    <w:rsid w:val="001250E8"/>
    <w:rsid w:val="00137848"/>
    <w:rsid w:val="001604D3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C11E8"/>
    <w:rsid w:val="003D3B03"/>
    <w:rsid w:val="003F5177"/>
    <w:rsid w:val="003F758D"/>
    <w:rsid w:val="00401741"/>
    <w:rsid w:val="00426666"/>
    <w:rsid w:val="00462B6D"/>
    <w:rsid w:val="00462BF4"/>
    <w:rsid w:val="00473C7E"/>
    <w:rsid w:val="00475CFE"/>
    <w:rsid w:val="00497530"/>
    <w:rsid w:val="004F241F"/>
    <w:rsid w:val="004F3376"/>
    <w:rsid w:val="00533820"/>
    <w:rsid w:val="00542513"/>
    <w:rsid w:val="005D34D8"/>
    <w:rsid w:val="005D5872"/>
    <w:rsid w:val="005E40A8"/>
    <w:rsid w:val="00636241"/>
    <w:rsid w:val="00656473"/>
    <w:rsid w:val="00660CDC"/>
    <w:rsid w:val="00666D65"/>
    <w:rsid w:val="00683A0D"/>
    <w:rsid w:val="006A79B5"/>
    <w:rsid w:val="006E425A"/>
    <w:rsid w:val="006F5656"/>
    <w:rsid w:val="00710C91"/>
    <w:rsid w:val="0074301F"/>
    <w:rsid w:val="007D758B"/>
    <w:rsid w:val="00825AF5"/>
    <w:rsid w:val="00862160"/>
    <w:rsid w:val="008956D8"/>
    <w:rsid w:val="0089644D"/>
    <w:rsid w:val="008973D9"/>
    <w:rsid w:val="008D6EE5"/>
    <w:rsid w:val="008E34EA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547C8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36505"/>
    <w:rsid w:val="00C529D6"/>
    <w:rsid w:val="00CA1C4E"/>
    <w:rsid w:val="00CD1FED"/>
    <w:rsid w:val="00CF52FD"/>
    <w:rsid w:val="00D353FC"/>
    <w:rsid w:val="00D67252"/>
    <w:rsid w:val="00D71577"/>
    <w:rsid w:val="00D87BF2"/>
    <w:rsid w:val="00DF4F1C"/>
    <w:rsid w:val="00E57AED"/>
    <w:rsid w:val="00EA74D8"/>
    <w:rsid w:val="00ED6B90"/>
    <w:rsid w:val="00EE0248"/>
    <w:rsid w:val="00F3384D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69B3-13FE-44A3-83BE-C728246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22</cp:revision>
  <dcterms:created xsi:type="dcterms:W3CDTF">2017-07-12T08:04:00Z</dcterms:created>
  <dcterms:modified xsi:type="dcterms:W3CDTF">2017-08-15T07:08:00Z</dcterms:modified>
</cp:coreProperties>
</file>